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FB" w:rsidRPr="00EF3EFB" w:rsidRDefault="00EF3EFB" w:rsidP="00EF3EFB">
      <w:pPr>
        <w:jc w:val="both"/>
        <w:rPr>
          <w:sz w:val="24"/>
        </w:rPr>
      </w:pPr>
      <w:r w:rsidRPr="00EF3EFB">
        <w:rPr>
          <w:sz w:val="24"/>
        </w:rPr>
        <w:t>OŠ Rodica</w:t>
      </w:r>
    </w:p>
    <w:p w:rsidR="00EF3EFB" w:rsidRPr="00EF3EFB" w:rsidRDefault="00885EFF" w:rsidP="00EF3EFB">
      <w:pPr>
        <w:jc w:val="both"/>
        <w:rPr>
          <w:sz w:val="24"/>
        </w:rPr>
      </w:pPr>
      <w:r>
        <w:rPr>
          <w:sz w:val="24"/>
        </w:rPr>
        <w:t>Datum: 8. 5</w:t>
      </w:r>
      <w:bookmarkStart w:id="0" w:name="_GoBack"/>
      <w:bookmarkEnd w:id="0"/>
      <w:r w:rsidR="00EF3EFB" w:rsidRPr="00EF3EFB">
        <w:rPr>
          <w:sz w:val="24"/>
        </w:rPr>
        <w:t>. 2020</w:t>
      </w:r>
    </w:p>
    <w:p w:rsidR="00EF3EFB" w:rsidRPr="00EF3EFB" w:rsidRDefault="00EF3EFB" w:rsidP="00EF3EFB">
      <w:pPr>
        <w:jc w:val="both"/>
        <w:rPr>
          <w:sz w:val="24"/>
        </w:rPr>
      </w:pPr>
    </w:p>
    <w:p w:rsidR="00EF3EFB" w:rsidRPr="00EF3EFB" w:rsidRDefault="00EF3EFB" w:rsidP="00EF3EFB">
      <w:pPr>
        <w:jc w:val="both"/>
        <w:rPr>
          <w:sz w:val="24"/>
        </w:rPr>
      </w:pPr>
    </w:p>
    <w:p w:rsidR="000D441B" w:rsidRPr="00EF3EFB" w:rsidRDefault="00EF3EFB" w:rsidP="00EF3EFB">
      <w:pPr>
        <w:jc w:val="both"/>
        <w:rPr>
          <w:sz w:val="24"/>
        </w:rPr>
      </w:pPr>
      <w:r w:rsidRPr="00EF3EFB">
        <w:rPr>
          <w:sz w:val="24"/>
        </w:rPr>
        <w:t>NAČRT OCENJEVANJA PRI POUKU ANGLEŠČINE V ČETRTEM RAZREDU</w:t>
      </w:r>
    </w:p>
    <w:p w:rsidR="00EF3EFB" w:rsidRPr="00EF3EFB" w:rsidRDefault="00EF3EFB" w:rsidP="00EF3EFB">
      <w:pPr>
        <w:jc w:val="both"/>
        <w:rPr>
          <w:sz w:val="24"/>
        </w:rPr>
      </w:pPr>
    </w:p>
    <w:p w:rsidR="00EF3EFB" w:rsidRPr="00EF3EFB" w:rsidRDefault="00EF3EFB" w:rsidP="00EF3EFB">
      <w:pPr>
        <w:jc w:val="both"/>
        <w:rPr>
          <w:sz w:val="24"/>
        </w:rPr>
      </w:pPr>
      <w:r w:rsidRPr="00EF3EFB">
        <w:rPr>
          <w:sz w:val="24"/>
        </w:rPr>
        <w:t>Učenci 4. razredov v drugem ocenjevalnem obdobju še niso pridobili ocene, zato jo po Pravilniku o ocenjevanju* znanja potrebujejo. Navodila bodo učencem posredovana s strani učiteljice preko e-pošte. Ocene bodo ustne.</w:t>
      </w:r>
    </w:p>
    <w:p w:rsidR="00EF3EFB" w:rsidRPr="00EF3EFB" w:rsidRDefault="00EF3EFB" w:rsidP="00EF3EFB">
      <w:pPr>
        <w:jc w:val="both"/>
        <w:rPr>
          <w:sz w:val="24"/>
        </w:rPr>
      </w:pPr>
    </w:p>
    <w:p w:rsidR="00EF3EFB" w:rsidRPr="00EF3EFB" w:rsidRDefault="00EF3EFB" w:rsidP="00EF3EFB">
      <w:pPr>
        <w:jc w:val="both"/>
        <w:rPr>
          <w:sz w:val="24"/>
        </w:rPr>
      </w:pPr>
      <w:r w:rsidRPr="00EF3EFB">
        <w:rPr>
          <w:sz w:val="24"/>
        </w:rPr>
        <w:t>Po predlogu Pravilnika o ocenjevanju* se</w:t>
      </w:r>
      <w:r w:rsidR="00B72D0E">
        <w:rPr>
          <w:sz w:val="24"/>
        </w:rPr>
        <w:t xml:space="preserve"> ocena zaključi na podlagi </w:t>
      </w:r>
      <w:r w:rsidRPr="00EF3EFB">
        <w:rPr>
          <w:sz w:val="24"/>
        </w:rPr>
        <w:t xml:space="preserve">že pridobljenih ocen in na novo pridobljene ocene, hkrati za vse učence velja, da je pogoj za zaključeno oceno sprotno delo na daljavo. </w:t>
      </w:r>
    </w:p>
    <w:p w:rsidR="00EF3EFB" w:rsidRPr="00EF3EFB" w:rsidRDefault="00EF3EFB" w:rsidP="00EF3EFB">
      <w:pPr>
        <w:jc w:val="both"/>
        <w:rPr>
          <w:sz w:val="24"/>
        </w:rPr>
      </w:pPr>
    </w:p>
    <w:p w:rsidR="00EF3EFB" w:rsidRPr="00EF3EFB" w:rsidRDefault="00EF3EFB" w:rsidP="00EF3EFB">
      <w:pPr>
        <w:jc w:val="both"/>
        <w:rPr>
          <w:sz w:val="24"/>
        </w:rPr>
      </w:pPr>
      <w:r w:rsidRPr="00EF3EFB">
        <w:rPr>
          <w:sz w:val="24"/>
        </w:rPr>
        <w:t>Pridobivanje ocen bo poteka</w:t>
      </w:r>
      <w:r w:rsidR="006B35BC">
        <w:rPr>
          <w:sz w:val="24"/>
        </w:rPr>
        <w:t>lo tako, da bodo učenci vnaprej</w:t>
      </w:r>
      <w:r w:rsidRPr="00EF3EFB">
        <w:rPr>
          <w:sz w:val="24"/>
        </w:rPr>
        <w:t xml:space="preserve"> dobili navodila za ustno ocenjevanje. Njihova naloga bo, da pripravijo krajši govorni nastop. </w:t>
      </w:r>
    </w:p>
    <w:p w:rsidR="00EF3EFB" w:rsidRDefault="00EF3EFB" w:rsidP="00EF3EFB">
      <w:pPr>
        <w:jc w:val="both"/>
        <w:rPr>
          <w:sz w:val="24"/>
        </w:rPr>
      </w:pPr>
      <w:r w:rsidRPr="00EF3EFB">
        <w:rPr>
          <w:sz w:val="24"/>
        </w:rPr>
        <w:t xml:space="preserve">Teme se navezujejo na učno snov, ki smo jo obravnavali in je bila zajeta v preverjanju. Učenci do predvidenega datuma govorni nastop napišejo in/ali posnamejo ter ga po elektronski pošti oddajo svoji učiteljici. </w:t>
      </w:r>
    </w:p>
    <w:p w:rsidR="006B35BC" w:rsidRDefault="006B35BC" w:rsidP="00EF3EFB">
      <w:pPr>
        <w:jc w:val="both"/>
        <w:rPr>
          <w:sz w:val="24"/>
        </w:rPr>
      </w:pPr>
      <w:r>
        <w:rPr>
          <w:sz w:val="24"/>
        </w:rPr>
        <w:t>Govorni nastop lahko oddajo najkasneje do 25. 5. 2020.</w:t>
      </w:r>
    </w:p>
    <w:p w:rsidR="006B35BC" w:rsidRDefault="006B35BC" w:rsidP="006B35BC">
      <w:pPr>
        <w:jc w:val="both"/>
        <w:rPr>
          <w:sz w:val="24"/>
        </w:rPr>
      </w:pPr>
      <w:r w:rsidRPr="00EF3EFB">
        <w:rPr>
          <w:sz w:val="24"/>
        </w:rPr>
        <w:t xml:space="preserve">Ocenjevanje govornega sporazumevanja in sporočanja bo obsegalo učne vsebine drugega ocenjevalnega obdobja. </w:t>
      </w:r>
    </w:p>
    <w:p w:rsidR="006B35BC" w:rsidRPr="00EF3EFB" w:rsidRDefault="006B35BC" w:rsidP="00EF3EFB">
      <w:pPr>
        <w:jc w:val="both"/>
        <w:rPr>
          <w:sz w:val="24"/>
        </w:rPr>
      </w:pPr>
      <w:r>
        <w:rPr>
          <w:sz w:val="24"/>
        </w:rPr>
        <w:t xml:space="preserve">Če bo kdo med oceno, bo možno zviševanje v začetku meseca junija.  </w:t>
      </w:r>
    </w:p>
    <w:p w:rsidR="00EF3EFB" w:rsidRDefault="00EF3EFB" w:rsidP="00EF3EFB">
      <w:pPr>
        <w:jc w:val="both"/>
        <w:rPr>
          <w:sz w:val="24"/>
        </w:rPr>
      </w:pPr>
    </w:p>
    <w:p w:rsidR="00EF3EFB" w:rsidRPr="00EF3EFB" w:rsidRDefault="006B35BC" w:rsidP="00EF3EFB">
      <w:pPr>
        <w:jc w:val="right"/>
        <w:rPr>
          <w:sz w:val="24"/>
        </w:rPr>
      </w:pPr>
      <w:r>
        <w:rPr>
          <w:sz w:val="24"/>
        </w:rPr>
        <w:t>Zapisala</w:t>
      </w:r>
      <w:r w:rsidR="00B72D0E">
        <w:rPr>
          <w:sz w:val="24"/>
        </w:rPr>
        <w:t xml:space="preserve"> Tamara Kovačič </w:t>
      </w:r>
    </w:p>
    <w:p w:rsidR="00EF3EFB" w:rsidRDefault="00EF3EFB"/>
    <w:p w:rsidR="00EF3EFB" w:rsidRDefault="00EF3EFB"/>
    <w:p w:rsidR="00EF3EFB" w:rsidRPr="00EF3EFB" w:rsidRDefault="00EF3EFB">
      <w:pPr>
        <w:rPr>
          <w:rFonts w:cstheme="minorHAnsi"/>
        </w:rPr>
      </w:pPr>
    </w:p>
    <w:p w:rsidR="00EF3EFB" w:rsidRPr="00EF3EFB" w:rsidRDefault="00EF3EFB" w:rsidP="00EF3EFB">
      <w:pPr>
        <w:tabs>
          <w:tab w:val="left" w:pos="3792"/>
        </w:tabs>
        <w:rPr>
          <w:rFonts w:cstheme="minorHAnsi"/>
          <w:sz w:val="24"/>
          <w:szCs w:val="24"/>
        </w:rPr>
      </w:pPr>
      <w:r w:rsidRPr="00EF3EFB">
        <w:rPr>
          <w:rFonts w:cstheme="minorHAnsi"/>
          <w:b/>
          <w:sz w:val="24"/>
          <w:szCs w:val="24"/>
        </w:rPr>
        <w:t>*</w:t>
      </w:r>
      <w:r w:rsidRPr="00EF3EFB">
        <w:rPr>
          <w:rFonts w:cstheme="minorHAnsi"/>
          <w:i/>
          <w:iCs/>
          <w:sz w:val="24"/>
          <w:szCs w:val="24"/>
        </w:rPr>
        <w:t xml:space="preserve"> Pravilnik o preverjanju in ocenjevanju znanja ter napredovanju učencev v osnovni šoli </w:t>
      </w:r>
      <w:r w:rsidRPr="00EF3EFB">
        <w:rPr>
          <w:rFonts w:cstheme="minorHAnsi"/>
          <w:sz w:val="24"/>
          <w:szCs w:val="24"/>
        </w:rPr>
        <w:t xml:space="preserve">in </w:t>
      </w:r>
      <w:r w:rsidRPr="00EF3EFB">
        <w:rPr>
          <w:rFonts w:cstheme="minorHAnsi"/>
          <w:i/>
          <w:iCs/>
          <w:sz w:val="24"/>
          <w:szCs w:val="24"/>
        </w:rPr>
        <w:t>Sklep o ukrepih za nemoteno opravljanje vzgojno-izobraževalnega dela v osnovnih šolah v šolskem letu 2019/2020</w:t>
      </w:r>
    </w:p>
    <w:p w:rsidR="00EF3EFB" w:rsidRDefault="00EF3EFB"/>
    <w:p w:rsidR="00EF0E36" w:rsidRDefault="00EF0E36"/>
    <w:p w:rsidR="00EF0E36" w:rsidRDefault="00EF0E36">
      <w:pPr>
        <w:sectPr w:rsidR="00EF0E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6"/>
        <w:gridCol w:w="1868"/>
        <w:gridCol w:w="1864"/>
        <w:gridCol w:w="1862"/>
        <w:gridCol w:w="1862"/>
        <w:gridCol w:w="1858"/>
      </w:tblGrid>
      <w:tr w:rsidR="00EF0E36" w:rsidRPr="00BD6FF9" w:rsidTr="00677533">
        <w:trPr>
          <w:trHeight w:val="662"/>
          <w:jc w:val="center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E36" w:rsidRPr="00BD6FF9" w:rsidRDefault="00EF0E36" w:rsidP="0067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lastRenderedPageBreak/>
              <w:t>KATEGORIJA</w:t>
            </w:r>
          </w:p>
        </w:tc>
        <w:tc>
          <w:tcPr>
            <w:tcW w:w="186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E36" w:rsidRPr="00BD6FF9" w:rsidRDefault="00EF0E36" w:rsidP="0067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1 TOČKA </w:t>
            </w:r>
          </w:p>
        </w:tc>
        <w:tc>
          <w:tcPr>
            <w:tcW w:w="18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E36" w:rsidRPr="00BD6FF9" w:rsidRDefault="00EF0E36" w:rsidP="0067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2 TOČKI </w:t>
            </w:r>
          </w:p>
        </w:tc>
        <w:tc>
          <w:tcPr>
            <w:tcW w:w="18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E36" w:rsidRPr="00BD6FF9" w:rsidRDefault="00EF0E36" w:rsidP="0067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3 TOČKE </w:t>
            </w:r>
          </w:p>
        </w:tc>
        <w:tc>
          <w:tcPr>
            <w:tcW w:w="18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E36" w:rsidRPr="00BD6FF9" w:rsidRDefault="00EF0E36" w:rsidP="0067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4 TOČKE </w:t>
            </w:r>
          </w:p>
        </w:tc>
        <w:tc>
          <w:tcPr>
            <w:tcW w:w="18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E36" w:rsidRPr="00BD6FF9" w:rsidRDefault="00EF0E36" w:rsidP="0067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>5 TOČK</w:t>
            </w:r>
          </w:p>
        </w:tc>
      </w:tr>
      <w:tr w:rsidR="00EF0E36" w:rsidRPr="00BD6FF9" w:rsidTr="00677533">
        <w:trPr>
          <w:trHeight w:val="1780"/>
          <w:jc w:val="center"/>
        </w:trPr>
        <w:tc>
          <w:tcPr>
            <w:tcW w:w="1586" w:type="dxa"/>
          </w:tcPr>
          <w:p w:rsidR="00EF0E36" w:rsidRPr="00BD6FF9" w:rsidRDefault="00EF0E36" w:rsidP="0067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>VSEBINA</w:t>
            </w:r>
          </w:p>
        </w:tc>
        <w:tc>
          <w:tcPr>
            <w:tcW w:w="1868" w:type="dxa"/>
          </w:tcPr>
          <w:p w:rsidR="00EF0E36" w:rsidRPr="00BD6FF9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Vsebina ne ustreza predpisani temi. </w:t>
            </w:r>
          </w:p>
        </w:tc>
        <w:tc>
          <w:tcPr>
            <w:tcW w:w="1864" w:type="dxa"/>
          </w:tcPr>
          <w:p w:rsidR="00EF0E36" w:rsidRPr="00BD6FF9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Vsebina nima večine zahtevanih elementov.  Besedilo je preskopo. </w:t>
            </w:r>
          </w:p>
        </w:tc>
        <w:tc>
          <w:tcPr>
            <w:tcW w:w="1862" w:type="dxa"/>
          </w:tcPr>
          <w:p w:rsidR="00EF0E36" w:rsidRPr="00BD6FF9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Vsebina nima vseh zahtevanih elementov.  Besedilo je skopo oz. odstopa od tematike.</w:t>
            </w:r>
          </w:p>
        </w:tc>
        <w:tc>
          <w:tcPr>
            <w:tcW w:w="1862" w:type="dxa"/>
          </w:tcPr>
          <w:p w:rsidR="00EF0E36" w:rsidRPr="00BD6FF9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Vsebina ima vse zahtevane elemente, vendar primanjkuje zanimivosti in pestrosti.</w:t>
            </w:r>
          </w:p>
        </w:tc>
        <w:tc>
          <w:tcPr>
            <w:tcW w:w="1858" w:type="dxa"/>
          </w:tcPr>
          <w:p w:rsidR="00EF0E36" w:rsidRPr="00BD6FF9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Vsebina ima vse zahtevane elemente, je pestra, zanimiva in  poglobljena.</w:t>
            </w:r>
          </w:p>
        </w:tc>
      </w:tr>
      <w:tr w:rsidR="00EF0E36" w:rsidRPr="00BD6FF9" w:rsidTr="00677533">
        <w:trPr>
          <w:trHeight w:val="3320"/>
          <w:jc w:val="center"/>
        </w:trPr>
        <w:tc>
          <w:tcPr>
            <w:tcW w:w="1586" w:type="dxa"/>
          </w:tcPr>
          <w:p w:rsidR="00EF0E36" w:rsidRPr="00BD6FF9" w:rsidRDefault="00EF0E36" w:rsidP="0067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>BESEDIŠČE</w:t>
            </w:r>
          </w:p>
        </w:tc>
        <w:tc>
          <w:tcPr>
            <w:tcW w:w="1868" w:type="dxa"/>
          </w:tcPr>
          <w:p w:rsidR="00EF0E36" w:rsidRPr="00BD6FF9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Učenčevo besedišče je skromno ali neustrezno, uporablja  le posamezne osnovne besede in besedne zveze. Omejitve v  besedišču so velike,  razumevanje povedanega je skoraj nemogoče. </w:t>
            </w:r>
          </w:p>
        </w:tc>
        <w:tc>
          <w:tcPr>
            <w:tcW w:w="1864" w:type="dxa"/>
          </w:tcPr>
          <w:p w:rsidR="00EF0E36" w:rsidRPr="00443180" w:rsidRDefault="00EF0E36" w:rsidP="00677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Skromno in ponavljajoče besedišče, ki je pogosto neustrezno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0E36" w:rsidRPr="00BD6FF9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Napačna  raba besed in  omejeno besedišče otežujejo razumevanje poveda</w:t>
            </w:r>
            <w:r w:rsidRPr="00BD6FF9">
              <w:rPr>
                <w:rFonts w:ascii="Arial" w:hAnsi="Arial" w:cs="Arial"/>
                <w:sz w:val="20"/>
                <w:szCs w:val="20"/>
              </w:rPr>
              <w:t xml:space="preserve">nega.  </w:t>
            </w:r>
          </w:p>
        </w:tc>
        <w:tc>
          <w:tcPr>
            <w:tcW w:w="1862" w:type="dxa"/>
          </w:tcPr>
          <w:p w:rsidR="00EF0E36" w:rsidRPr="00443180" w:rsidRDefault="00EF0E36" w:rsidP="00677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snovno </w:t>
            </w:r>
            <w:r w:rsidRPr="00443180">
              <w:rPr>
                <w:rFonts w:ascii="Arial" w:hAnsi="Arial" w:cs="Arial"/>
                <w:sz w:val="20"/>
                <w:szCs w:val="20"/>
              </w:rPr>
              <w:t>in/ali ponavljajoče</w:t>
            </w:r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</w:p>
          <w:p w:rsidR="00EF0E36" w:rsidRPr="00443180" w:rsidRDefault="00EF0E36" w:rsidP="00677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večinoma ustrezno besedišče, z občasnimi primeri neustreznosti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0E36" w:rsidRPr="00BD6FF9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EF0E36" w:rsidRPr="00BD6FF9" w:rsidRDefault="00EF0E36" w:rsidP="00677533">
            <w:pPr>
              <w:spacing w:after="0" w:line="240" w:lineRule="auto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Učenec uporablja ustrezno besedišče s posameznimi primeri neustreznosti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0E36" w:rsidRPr="00BD6FF9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EF0E36" w:rsidRDefault="00EF0E36" w:rsidP="00677533">
            <w:pPr>
              <w:spacing w:after="0" w:line="240" w:lineRule="auto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Učenec uporablja  bogato in raznoliko ter ustrezno besedišče. </w:t>
            </w:r>
            <w:r>
              <w:rPr>
                <w:rFonts w:ascii="Arial" w:hAnsi="Arial" w:cs="Arial"/>
                <w:sz w:val="20"/>
                <w:szCs w:val="20"/>
              </w:rPr>
              <w:t>Uporablja pridevnike, prislove, besed ne ponavlja.</w:t>
            </w:r>
          </w:p>
          <w:p w:rsidR="00EF0E36" w:rsidRPr="00BD6FF9" w:rsidRDefault="00EF0E36" w:rsidP="00677533">
            <w:pPr>
              <w:spacing w:after="0" w:line="240" w:lineRule="auto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Napak skorajda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6FF9">
              <w:rPr>
                <w:rFonts w:ascii="Arial" w:hAnsi="Arial" w:cs="Arial"/>
                <w:sz w:val="20"/>
                <w:szCs w:val="20"/>
              </w:rPr>
              <w:t>ni.</w:t>
            </w:r>
          </w:p>
        </w:tc>
      </w:tr>
      <w:tr w:rsidR="00EF0E36" w:rsidRPr="0051763C" w:rsidTr="00677533">
        <w:trPr>
          <w:trHeight w:val="2400"/>
          <w:jc w:val="center"/>
        </w:trPr>
        <w:tc>
          <w:tcPr>
            <w:tcW w:w="1586" w:type="dxa"/>
          </w:tcPr>
          <w:p w:rsidR="00EF0E36" w:rsidRPr="0051763C" w:rsidRDefault="00EF0E36" w:rsidP="0067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3C">
              <w:rPr>
                <w:rFonts w:ascii="Arial" w:hAnsi="Arial" w:cs="Arial"/>
                <w:b/>
                <w:sz w:val="20"/>
                <w:szCs w:val="20"/>
              </w:rPr>
              <w:t>JEZIKOVNA PRAVILNOST</w:t>
            </w:r>
          </w:p>
        </w:tc>
        <w:tc>
          <w:tcPr>
            <w:tcW w:w="1868" w:type="dxa"/>
          </w:tcPr>
          <w:p w:rsidR="00EF0E36" w:rsidRPr="0051763C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tudi osnovne slovnične strukture večinoma uporablja napačno, zelo pogosto dela večje napake, povedi ne povezuje. Napake ovirajo razumljivost govora.</w:t>
            </w:r>
          </w:p>
        </w:tc>
        <w:tc>
          <w:tcPr>
            <w:tcW w:w="1864" w:type="dxa"/>
          </w:tcPr>
          <w:p w:rsidR="00EF0E36" w:rsidRPr="0051763C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omejen nabor slovničnih struktur, bolj zapletene tvori in rabi z napakami, uporablja osnova vezniška sredstva. Napake občasno ovirajo razumljivost govora.</w:t>
            </w:r>
          </w:p>
        </w:tc>
        <w:tc>
          <w:tcPr>
            <w:tcW w:w="1862" w:type="dxa"/>
          </w:tcPr>
          <w:p w:rsidR="00EF0E36" w:rsidRPr="0051763C" w:rsidRDefault="00EF0E36" w:rsidP="00677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osnovne, pri pouku obravnavane slovnične strukture dokaj dobro, medtem ko dela napake pri rabi zahtevnejših</w:t>
            </w:r>
            <w:r>
              <w:rPr>
                <w:rFonts w:ascii="Arial" w:hAnsi="Arial" w:cs="Arial"/>
                <w:sz w:val="20"/>
                <w:szCs w:val="20"/>
              </w:rPr>
              <w:t xml:space="preserve"> neutrjenih</w:t>
            </w:r>
            <w:r w:rsidRPr="0051763C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1763C">
              <w:rPr>
                <w:rFonts w:ascii="Arial" w:hAnsi="Arial" w:cs="Arial"/>
                <w:sz w:val="20"/>
                <w:szCs w:val="20"/>
              </w:rPr>
              <w:t>neobravnavanih</w:t>
            </w:r>
            <w:proofErr w:type="spellEnd"/>
            <w:r w:rsidRPr="0051763C">
              <w:rPr>
                <w:rFonts w:ascii="Arial" w:hAnsi="Arial" w:cs="Arial"/>
                <w:sz w:val="20"/>
                <w:szCs w:val="20"/>
              </w:rPr>
              <w:t xml:space="preserve"> struktur. Te napake lahko občasno ovirajo razumljivost govora.</w:t>
            </w:r>
          </w:p>
          <w:p w:rsidR="00EF0E36" w:rsidRPr="0051763C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EF0E36" w:rsidRPr="0051763C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ustrezen nabor tudi bolj zapletenih jezikovnih struktur in izraznih sredstev. Manjše napake so dokaj pogoste.</w:t>
            </w:r>
          </w:p>
        </w:tc>
        <w:tc>
          <w:tcPr>
            <w:tcW w:w="1858" w:type="dxa"/>
          </w:tcPr>
          <w:p w:rsidR="00EF0E36" w:rsidRPr="0051763C" w:rsidRDefault="00EF0E36" w:rsidP="00677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pester (raznovrsten) nabor tudi bolj zapletenih jezikovnih struktur, povedi ustrezno povezuje in predvsem pri prosti rabi, občasno napravi manjše napake.</w:t>
            </w:r>
          </w:p>
          <w:p w:rsidR="00EF0E36" w:rsidRPr="0051763C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E36" w:rsidRPr="00125690" w:rsidTr="00677533">
        <w:trPr>
          <w:trHeight w:val="4040"/>
          <w:jc w:val="center"/>
        </w:trPr>
        <w:tc>
          <w:tcPr>
            <w:tcW w:w="1586" w:type="dxa"/>
          </w:tcPr>
          <w:p w:rsidR="00EF0E36" w:rsidRPr="00125690" w:rsidRDefault="00EF0E36" w:rsidP="0067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690">
              <w:rPr>
                <w:rFonts w:ascii="Arial" w:hAnsi="Arial" w:cs="Arial"/>
                <w:b/>
                <w:sz w:val="20"/>
                <w:szCs w:val="20"/>
              </w:rPr>
              <w:t>KOHERENTNOST BESEDILA, JASNOST IN DOLŽINA GOVORNEGA NASTOPA</w:t>
            </w:r>
          </w:p>
        </w:tc>
        <w:tc>
          <w:tcPr>
            <w:tcW w:w="1868" w:type="dxa"/>
          </w:tcPr>
          <w:p w:rsidR="00EF0E36" w:rsidRPr="00125690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 se zatika in je zelo razdrobljen, tako da je sledenje govoru skoraj nemogoče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5690">
              <w:rPr>
                <w:rFonts w:ascii="Arial" w:hAnsi="Arial" w:cs="Arial"/>
                <w:sz w:val="20"/>
                <w:szCs w:val="20"/>
              </w:rPr>
              <w:t xml:space="preserve"> Učenec </w:t>
            </w:r>
            <w:r>
              <w:rPr>
                <w:rFonts w:ascii="Arial" w:hAnsi="Arial" w:cs="Arial"/>
                <w:sz w:val="20"/>
                <w:szCs w:val="20"/>
              </w:rPr>
              <w:t xml:space="preserve"> ima neprimerno intonacijo(prehitro, prepočasi, nerazumljivo) ali pa  govor</w:t>
            </w:r>
            <w:r w:rsidRPr="00125690">
              <w:rPr>
                <w:rFonts w:ascii="Arial" w:hAnsi="Arial" w:cs="Arial"/>
                <w:sz w:val="20"/>
                <w:szCs w:val="20"/>
              </w:rPr>
              <w:t xml:space="preserve"> prebere. Učenčev okvir jezikovnega nastopa je veliko pre</w:t>
            </w:r>
            <w:r>
              <w:rPr>
                <w:rFonts w:ascii="Arial" w:hAnsi="Arial" w:cs="Arial"/>
                <w:sz w:val="20"/>
                <w:szCs w:val="20"/>
              </w:rPr>
              <w:t>kratek (govori 30s ali manj).</w:t>
            </w:r>
          </w:p>
        </w:tc>
        <w:tc>
          <w:tcPr>
            <w:tcW w:w="1864" w:type="dxa"/>
          </w:tcPr>
          <w:p w:rsidR="00EF0E36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Govorjenje je manj koherentno. Govor se učencu zatika, išče izraze, prekinja, ponavlja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F0E36" w:rsidRPr="00125690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 xml:space="preserve">Učenec </w:t>
            </w:r>
            <w:r>
              <w:rPr>
                <w:rFonts w:ascii="Arial" w:hAnsi="Arial" w:cs="Arial"/>
                <w:sz w:val="20"/>
                <w:szCs w:val="20"/>
              </w:rPr>
              <w:t>občasno uporabi neprimerno intonacijo (govori prehitro, prepočasi, nerazumljivo) ali pa  govor</w:t>
            </w:r>
            <w:r w:rsidRPr="00125690">
              <w:rPr>
                <w:rFonts w:ascii="Arial" w:hAnsi="Arial" w:cs="Arial"/>
                <w:sz w:val="20"/>
                <w:szCs w:val="20"/>
              </w:rPr>
              <w:t xml:space="preserve"> prebere. Učenčev okvir govornega nastopa je prekratek</w:t>
            </w:r>
            <w:r>
              <w:rPr>
                <w:rFonts w:ascii="Arial" w:hAnsi="Arial" w:cs="Arial"/>
                <w:sz w:val="20"/>
                <w:szCs w:val="20"/>
              </w:rPr>
              <w:t xml:space="preserve"> (govori 45-55sekund)</w:t>
            </w:r>
            <w:r w:rsidRPr="00125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EF0E36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 xml:space="preserve">Govor je v rabi moten, značilne so prekinitve in/ali ponavljanja, preoblikovanja. </w:t>
            </w:r>
          </w:p>
          <w:p w:rsidR="00EF0E36" w:rsidRPr="00125690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 xml:space="preserve">Učenec se izraža delno jasno oz. občasno z neprimerno glasnostjo ali tempom; govori </w:t>
            </w:r>
            <w:r>
              <w:rPr>
                <w:rFonts w:ascii="Arial" w:hAnsi="Arial" w:cs="Arial"/>
                <w:sz w:val="20"/>
                <w:szCs w:val="20"/>
              </w:rPr>
              <w:t>z intonacijo, ki je večinoma primerna</w:t>
            </w:r>
            <w:r w:rsidRPr="00125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EF0E36" w:rsidRPr="00125690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 je v glavnem tekoč, prisotna so občasna zatikanja. Učenec se izraža jasno ter s primerno glasnostjo in tempom; govori večinoma prosto.</w:t>
            </w:r>
          </w:p>
          <w:p w:rsidR="00EF0E36" w:rsidRPr="00125690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EF0E36" w:rsidRPr="00125690" w:rsidRDefault="00EF0E36" w:rsidP="00677533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 poteka tekoče in prosto ter brez napora.  Učenec se izraža jasno ter s primerno glasnostjo in tempom; govori prosto.</w:t>
            </w:r>
          </w:p>
        </w:tc>
      </w:tr>
    </w:tbl>
    <w:p w:rsidR="00EF0E36" w:rsidRDefault="00EF0E36"/>
    <w:p w:rsidR="00EF0E36" w:rsidRPr="00F85618" w:rsidRDefault="00EF0E36" w:rsidP="00EF0E36">
      <w:pPr>
        <w:rPr>
          <w:rFonts w:ascii="Arial" w:hAnsi="Arial" w:cs="Arial"/>
          <w:sz w:val="24"/>
          <w:szCs w:val="24"/>
        </w:rPr>
      </w:pPr>
      <w:r w:rsidRPr="00F85618">
        <w:rPr>
          <w:rFonts w:ascii="Arial" w:hAnsi="Arial" w:cs="Arial"/>
          <w:b/>
          <w:bCs/>
          <w:sz w:val="24"/>
          <w:szCs w:val="24"/>
        </w:rPr>
        <w:t>Nabor jezikovnih struktur, širina besednega zaklada in mera tolerance specifičnih napak so odvisni od vzgojno-izobraževalnega obdobja, v katerem se učenec nahaja.</w:t>
      </w:r>
    </w:p>
    <w:p w:rsidR="00EF0E36" w:rsidRDefault="00EF0E36"/>
    <w:sectPr w:rsidR="00EF0E36" w:rsidSect="00EF0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FB"/>
    <w:rsid w:val="000D441B"/>
    <w:rsid w:val="006B35BC"/>
    <w:rsid w:val="00885EFF"/>
    <w:rsid w:val="00B72D0E"/>
    <w:rsid w:val="00EF0E36"/>
    <w:rsid w:val="00E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AF02-C864-4422-B715-4BB2DF1D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Tamara Kovačič</cp:lastModifiedBy>
  <cp:revision>5</cp:revision>
  <dcterms:created xsi:type="dcterms:W3CDTF">2020-04-23T10:51:00Z</dcterms:created>
  <dcterms:modified xsi:type="dcterms:W3CDTF">2020-05-08T17:55:00Z</dcterms:modified>
</cp:coreProperties>
</file>